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DB" w:rsidRPr="00CA0A28" w:rsidRDefault="00CA0A28">
      <w:r w:rsidRPr="00CA0A28">
        <w:t>Мой сын состоит в браке, с семьей проживал в съемной квартире. В октябре 2017г. у него родилась дочь, а в декабре 2017г. жена вместе с ребенком ушла к своим родителям. Видеться с ребенком не позволяет. Сын ежемесячно отправляет деньги для содержания ребенка. Его жена подала иск в суд с целью выплаты алиментов на ее содержания. Сын является инвалидом детства 3 группы, проживает в той же съемной квартире, не работает. Имеет ли право его жена на получение алиментов на ее содержание до достижения ребенком 3 лет?</w:t>
      </w:r>
      <w:r>
        <w:t xml:space="preserve"> Брак не расторгнут.</w:t>
      </w:r>
    </w:p>
    <w:sectPr w:rsidR="00393DDB" w:rsidRPr="00CA0A28" w:rsidSect="0039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A0A28"/>
    <w:rsid w:val="00393DDB"/>
    <w:rsid w:val="00CA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Krokoz™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2018-06-13T17:26:00Z</dcterms:created>
  <dcterms:modified xsi:type="dcterms:W3CDTF">2018-06-13T17:27:00Z</dcterms:modified>
</cp:coreProperties>
</file>